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DD0108">
      <w:pPr>
        <w:pStyle w:val="2"/>
        <w:spacing w:line="480" w:lineRule="auto"/>
        <w:rPr>
          <w:rFonts w:hint="eastAsia" w:eastAsia="黑体"/>
          <w:lang w:val="en-US" w:eastAsia="zh-CN"/>
        </w:rPr>
      </w:pPr>
      <w:bookmarkStart w:id="23" w:name="_GoBack"/>
      <w:bookmarkEnd w:id="23"/>
      <w:bookmarkStart w:id="0" w:name="_Toc396170372"/>
      <w:bookmarkStart w:id="1" w:name="_Toc518931476"/>
      <w:r>
        <w:rPr>
          <w:rFonts w:hint="eastAsia"/>
          <w:highlight w:val="white"/>
          <w:lang w:eastAsia="zh-CN"/>
        </w:rPr>
        <w:t>肇庆</w:t>
      </w:r>
      <w:r>
        <w:rPr>
          <w:rFonts w:hint="eastAsia"/>
          <w:highlight w:val="white"/>
          <w:lang w:val="en-US" w:eastAsia="zh-CN"/>
        </w:rPr>
        <w:t>市中医院</w:t>
      </w:r>
      <w:r>
        <w:rPr>
          <w:rFonts w:hint="eastAsia"/>
          <w:highlight w:val="white"/>
        </w:rPr>
        <w:t>财政电子票据</w:t>
      </w:r>
      <w:r>
        <w:rPr>
          <w:rFonts w:hint="eastAsia"/>
          <w:highlight w:val="white"/>
          <w:lang w:val="en-US" w:eastAsia="zh-CN"/>
        </w:rPr>
        <w:t>跨省报销升级改造</w:t>
      </w:r>
      <w:r>
        <w:rPr>
          <w:rFonts w:hint="eastAsia"/>
        </w:rPr>
        <w:t>项目</w:t>
      </w:r>
      <w:r>
        <w:rPr>
          <w:rFonts w:hint="eastAsia" w:cs="仿宋_GB2312"/>
          <w:lang w:val="zh-CN"/>
        </w:rPr>
        <w:t>需求</w:t>
      </w:r>
      <w:r>
        <w:rPr>
          <w:rFonts w:hint="eastAsia" w:cs="仿宋_GB2312"/>
          <w:lang w:val="en-US" w:eastAsia="zh-CN"/>
        </w:rPr>
        <w:t>书</w:t>
      </w:r>
    </w:p>
    <w:p w14:paraId="51D8910B">
      <w:pPr>
        <w:pStyle w:val="7"/>
        <w:spacing w:line="360" w:lineRule="auto"/>
        <w:ind w:firstLine="1687" w:firstLineChars="700"/>
        <w:rPr>
          <w:rFonts w:ascii="仿宋_GB2312" w:hAnsi="宋体" w:eastAsia="仿宋_GB2312"/>
          <w:b/>
          <w:bCs/>
          <w:sz w:val="24"/>
        </w:rPr>
      </w:pPr>
      <w:bookmarkStart w:id="2" w:name="_Toc1167433025"/>
    </w:p>
    <w:bookmarkEnd w:id="2"/>
    <w:p w14:paraId="653BDBB4">
      <w:pPr>
        <w:pStyle w:val="7"/>
        <w:spacing w:before="60" w:after="60" w:line="360" w:lineRule="auto"/>
        <w:ind w:firstLine="640" w:firstLineChars="200"/>
        <w:rPr>
          <w:rFonts w:hint="default" w:ascii="黑体" w:hAnsi="黑体" w:eastAsia="黑体" w:cs="仿宋_GB2312"/>
          <w:sz w:val="32"/>
          <w:szCs w:val="32"/>
          <w:lang w:val="en-US"/>
        </w:rPr>
      </w:pPr>
      <w:bookmarkStart w:id="3" w:name="_Toc26194"/>
      <w:r>
        <w:rPr>
          <w:rFonts w:hint="eastAsia" w:ascii="黑体" w:hAnsi="黑体" w:eastAsia="黑体" w:cs="仿宋_GB2312"/>
          <w:sz w:val="32"/>
          <w:szCs w:val="32"/>
          <w:lang w:val="en-US" w:eastAsia="zh-CN"/>
        </w:rPr>
        <w:t>一</w:t>
      </w:r>
      <w:r>
        <w:rPr>
          <w:rFonts w:hint="eastAsia" w:ascii="黑体" w:hAnsi="黑体" w:eastAsia="黑体" w:cs="仿宋_GB2312"/>
          <w:sz w:val="32"/>
          <w:szCs w:val="32"/>
          <w:lang w:val="zh-CN"/>
        </w:rPr>
        <w:t>、</w:t>
      </w:r>
      <w:bookmarkEnd w:id="3"/>
      <w:r>
        <w:rPr>
          <w:rFonts w:hint="eastAsia" w:ascii="黑体" w:hAnsi="黑体" w:eastAsia="黑体" w:cs="仿宋_GB2312"/>
          <w:sz w:val="32"/>
          <w:szCs w:val="32"/>
          <w:lang w:val="en-US" w:eastAsia="zh-CN"/>
        </w:rPr>
        <w:t>项目背景</w:t>
      </w:r>
    </w:p>
    <w:p w14:paraId="4DCDD631">
      <w:pPr>
        <w:pStyle w:val="7"/>
        <w:spacing w:before="60" w:after="60" w:line="360" w:lineRule="auto"/>
        <w:ind w:firstLine="640" w:firstLineChars="200"/>
        <w:rPr>
          <w:rFonts w:hint="eastAsia" w:ascii="仿宋_GB2312" w:hAnsi="宋体" w:eastAsia="仿宋_GB2312" w:cs="仿宋_GB2312"/>
          <w:sz w:val="32"/>
          <w:szCs w:val="32"/>
          <w:lang w:val="en-US" w:eastAsia="zh-CN"/>
        </w:rPr>
      </w:pPr>
      <w:r>
        <w:rPr>
          <w:rFonts w:hint="eastAsia" w:ascii="仿宋_GB2312" w:hAnsi="宋体" w:eastAsia="仿宋_GB2312" w:cs="仿宋_GB2312"/>
          <w:sz w:val="32"/>
          <w:szCs w:val="32"/>
          <w:lang w:val="en-US" w:eastAsia="zh-CN"/>
        </w:rPr>
        <w:t>为贯彻落实党中央、国务院推进数字政府建设的决策部署，切实做好财政电子票据社会化应用工作，根据《财政部关于全面推行财政电子票据跨省报销工作的通知》（财综〔2026〕3号）、《广东省财政电子票据跨省报销工作实施方案》（粤财综〔2026〕17号）、《肇庆市财政局等六部门关于印发〈肇庆市财政电子票据跨省报销工作实施方案〉的通知》（肇财综〔2026〕21号）等相关政策规定，我市全面开展财政电子票据跨省报销工作。根据实施方案要求，我院需对现有医疗电子票据系统接口进行升级改造，以满足跨省入账报销的业务需求。</w:t>
      </w:r>
    </w:p>
    <w:p w14:paraId="64A6B7D5">
      <w:pPr>
        <w:pStyle w:val="7"/>
        <w:spacing w:before="60" w:after="60" w:line="360" w:lineRule="auto"/>
        <w:ind w:firstLine="640" w:firstLineChars="200"/>
        <w:rPr>
          <w:rFonts w:hint="default" w:ascii="黑体" w:hAnsi="黑体" w:eastAsia="黑体" w:cs="仿宋_GB2312"/>
          <w:sz w:val="32"/>
          <w:szCs w:val="32"/>
          <w:lang w:val="en-US" w:eastAsia="zh-CN"/>
        </w:rPr>
      </w:pPr>
      <w:r>
        <w:rPr>
          <w:rFonts w:hint="eastAsia" w:ascii="黑体" w:hAnsi="黑体" w:eastAsia="黑体" w:cs="仿宋_GB2312"/>
          <w:sz w:val="32"/>
          <w:szCs w:val="32"/>
          <w:lang w:val="zh-CN"/>
        </w:rPr>
        <w:t>二、</w:t>
      </w:r>
      <w:r>
        <w:rPr>
          <w:rFonts w:hint="eastAsia" w:ascii="黑体" w:hAnsi="黑体" w:eastAsia="黑体" w:cs="仿宋_GB2312"/>
          <w:sz w:val="32"/>
          <w:szCs w:val="32"/>
          <w:lang w:val="en-US" w:eastAsia="zh-CN"/>
        </w:rPr>
        <w:t>建设目标</w:t>
      </w:r>
    </w:p>
    <w:p w14:paraId="5621C43C">
      <w:pPr>
        <w:pStyle w:val="7"/>
        <w:spacing w:before="60" w:after="60" w:line="360" w:lineRule="auto"/>
        <w:ind w:firstLine="640" w:firstLineChars="200"/>
        <w:rPr>
          <w:lang w:val="zh-CN"/>
        </w:rPr>
      </w:pPr>
      <w:r>
        <w:rPr>
          <w:rFonts w:hint="eastAsia" w:ascii="仿宋_GB2312" w:hAnsi="宋体" w:eastAsia="仿宋_GB2312" w:cs="仿宋_GB2312"/>
          <w:sz w:val="32"/>
          <w:szCs w:val="32"/>
          <w:lang w:val="zh-CN"/>
        </w:rPr>
        <w:t>通过优化医疗单位开票管理流程，开票单位进行医疗电子票据系统的财政电子票据数据规范升级，实现全国统一编码规则和电子票据数据标准，满足全国范围内的财政电子票据互认和财政电子票据跨省报销业务需求。开票单位进行财政电子票据状态查询，有效防止报销后，开票单位再次冲红票据退费，保障了财政资金的安全，不仅提高了票据管理效率，也能够有效提升票据安全性。</w:t>
      </w:r>
    </w:p>
    <w:p w14:paraId="03161990">
      <w:pPr>
        <w:pStyle w:val="7"/>
        <w:numPr>
          <w:ilvl w:val="0"/>
          <w:numId w:val="1"/>
        </w:numPr>
        <w:spacing w:before="60" w:after="60"/>
        <w:ind w:left="0" w:leftChars="0" w:firstLine="640" w:firstLineChars="200"/>
        <w:rPr>
          <w:rFonts w:hint="eastAsia" w:ascii="黑体" w:hAnsi="黑体" w:eastAsia="黑体" w:cs="仿宋_GB2312"/>
          <w:sz w:val="32"/>
          <w:szCs w:val="32"/>
          <w:lang w:val="zh-CN"/>
        </w:rPr>
      </w:pPr>
      <w:bookmarkStart w:id="4" w:name="_Toc14449538"/>
      <w:bookmarkStart w:id="5" w:name="_Toc9361"/>
      <w:bookmarkStart w:id="6" w:name="_Toc16393"/>
      <w:bookmarkStart w:id="7" w:name="_Toc90026018"/>
      <w:r>
        <w:rPr>
          <w:rFonts w:hint="eastAsia" w:ascii="黑体" w:hAnsi="黑体" w:eastAsia="黑体" w:cs="仿宋_GB2312"/>
          <w:sz w:val="32"/>
          <w:szCs w:val="32"/>
          <w:lang w:val="zh-CN"/>
        </w:rPr>
        <w:t>项目主要</w:t>
      </w:r>
      <w:bookmarkEnd w:id="4"/>
      <w:bookmarkEnd w:id="5"/>
      <w:bookmarkEnd w:id="6"/>
      <w:bookmarkEnd w:id="7"/>
      <w:r>
        <w:rPr>
          <w:rFonts w:hint="eastAsia" w:ascii="黑体" w:hAnsi="黑体" w:eastAsia="黑体" w:cs="仿宋_GB2312"/>
          <w:sz w:val="32"/>
          <w:szCs w:val="32"/>
          <w:lang w:val="zh-CN"/>
        </w:rPr>
        <w:t>内容</w:t>
      </w:r>
      <w:bookmarkStart w:id="8" w:name="_Toc475101715"/>
      <w:bookmarkStart w:id="9" w:name="_Toc26871"/>
      <w:bookmarkStart w:id="10" w:name="_Toc475102710"/>
      <w:bookmarkStart w:id="11" w:name="_Toc20861"/>
      <w:bookmarkStart w:id="12" w:name="_Toc475102947"/>
      <w:bookmarkStart w:id="13" w:name="_Toc14449541"/>
      <w:bookmarkStart w:id="14" w:name="_Toc475717726"/>
      <w:bookmarkStart w:id="15" w:name="_Toc475717800"/>
      <w:bookmarkStart w:id="16" w:name="_Toc475717410"/>
      <w:bookmarkStart w:id="17" w:name="_Toc90026021"/>
      <w:bookmarkStart w:id="18" w:name="_Toc475033950"/>
      <w:bookmarkStart w:id="19" w:name="_Toc475717913"/>
      <w:bookmarkStart w:id="20" w:name="_Toc475717597"/>
      <w:bookmarkStart w:id="21" w:name="_Toc475717650"/>
    </w:p>
    <w:bookmarkEnd w:id="8"/>
    <w:bookmarkEnd w:id="9"/>
    <w:bookmarkEnd w:id="10"/>
    <w:bookmarkEnd w:id="11"/>
    <w:bookmarkEnd w:id="12"/>
    <w:bookmarkEnd w:id="13"/>
    <w:bookmarkEnd w:id="14"/>
    <w:bookmarkEnd w:id="15"/>
    <w:bookmarkEnd w:id="16"/>
    <w:bookmarkEnd w:id="17"/>
    <w:bookmarkEnd w:id="18"/>
    <w:bookmarkEnd w:id="19"/>
    <w:bookmarkEnd w:id="20"/>
    <w:bookmarkEnd w:id="21"/>
    <w:p w14:paraId="0A5C8F1E">
      <w:pPr>
        <w:numPr>
          <w:ilvl w:val="0"/>
          <w:numId w:val="2"/>
        </w:numPr>
        <w:ind w:left="0" w:leftChars="0" w:firstLine="640" w:firstLineChars="200"/>
        <w:rPr>
          <w:rFonts w:hint="eastAsia" w:eastAsia="仿宋_GB2312"/>
          <w:sz w:val="32"/>
          <w:szCs w:val="32"/>
        </w:rPr>
      </w:pPr>
      <w:r>
        <w:rPr>
          <w:rFonts w:hint="eastAsia" w:eastAsia="仿宋_GB2312"/>
          <w:sz w:val="32"/>
          <w:szCs w:val="32"/>
        </w:rPr>
        <w:t>医疗电子票据数据规范升级适配</w:t>
      </w:r>
    </w:p>
    <w:p w14:paraId="35D658E9">
      <w:pPr>
        <w:ind w:firstLine="640" w:firstLineChars="200"/>
        <w:rPr>
          <w:rFonts w:hint="eastAsia" w:eastAsia="仿宋_GB2312"/>
          <w:sz w:val="32"/>
          <w:szCs w:val="32"/>
        </w:rPr>
      </w:pPr>
      <w:r>
        <w:rPr>
          <w:rFonts w:hint="eastAsia" w:eastAsia="仿宋_GB2312"/>
          <w:sz w:val="32"/>
          <w:szCs w:val="32"/>
        </w:rPr>
        <w:t>对标财政部信息网络中心修订的《财政电子票据数据规范（试行）》要求，以及保证入账报销的业务需要，报销单位（如商保公司、其他保险机构或财务部门）需要更多数据要素规避其报销流程和风险控制，则需对现有电子票据系统的数据字段进行增加和优化。</w:t>
      </w:r>
    </w:p>
    <w:p w14:paraId="4116584A">
      <w:pPr>
        <w:ind w:firstLine="640" w:firstLineChars="200"/>
        <w:rPr>
          <w:rFonts w:hint="eastAsia" w:eastAsia="仿宋_GB2312"/>
          <w:sz w:val="32"/>
          <w:szCs w:val="32"/>
        </w:rPr>
      </w:pPr>
      <w:r>
        <w:rPr>
          <w:rFonts w:hint="eastAsia" w:eastAsia="仿宋_GB2312"/>
          <w:sz w:val="32"/>
          <w:szCs w:val="32"/>
        </w:rPr>
        <w:t>对医疗电子票据开具接口进行升级</w:t>
      </w:r>
      <w:r>
        <w:rPr>
          <w:rFonts w:hint="eastAsia" w:eastAsia="仿宋_GB2312"/>
          <w:sz w:val="32"/>
          <w:szCs w:val="32"/>
          <w:lang w:eastAsia="zh-CN"/>
        </w:rPr>
        <w:t>（</w:t>
      </w:r>
      <w:r>
        <w:rPr>
          <w:rFonts w:hint="eastAsia" w:eastAsia="仿宋_GB2312"/>
          <w:sz w:val="32"/>
          <w:szCs w:val="32"/>
        </w:rPr>
        <w:t>包括门诊、住院、挂号、体检等</w:t>
      </w:r>
      <w:r>
        <w:rPr>
          <w:rFonts w:hint="eastAsia" w:eastAsia="仿宋_GB2312"/>
          <w:sz w:val="32"/>
          <w:szCs w:val="32"/>
          <w:lang w:eastAsia="zh-CN"/>
        </w:rPr>
        <w:t>）</w:t>
      </w:r>
      <w:r>
        <w:rPr>
          <w:rFonts w:hint="eastAsia" w:eastAsia="仿宋_GB2312"/>
          <w:sz w:val="32"/>
          <w:szCs w:val="32"/>
        </w:rPr>
        <w:t>。</w:t>
      </w:r>
    </w:p>
    <w:p w14:paraId="38EA41A6">
      <w:pPr>
        <w:numPr>
          <w:ilvl w:val="0"/>
          <w:numId w:val="3"/>
        </w:numPr>
        <w:ind w:firstLine="640" w:firstLineChars="200"/>
        <w:rPr>
          <w:rFonts w:hint="eastAsia" w:eastAsia="仿宋_GB2312"/>
          <w:sz w:val="32"/>
          <w:szCs w:val="32"/>
        </w:rPr>
      </w:pPr>
      <w:r>
        <w:rPr>
          <w:rFonts w:hint="eastAsia" w:eastAsia="仿宋_GB2312"/>
          <w:sz w:val="32"/>
          <w:szCs w:val="32"/>
        </w:rPr>
        <w:t>规范填列和数据质量提升</w:t>
      </w:r>
    </w:p>
    <w:p w14:paraId="735AF3D2">
      <w:pPr>
        <w:ind w:firstLine="640" w:firstLineChars="200"/>
        <w:rPr>
          <w:rFonts w:hint="eastAsia" w:eastAsia="仿宋_GB2312"/>
          <w:sz w:val="32"/>
          <w:szCs w:val="32"/>
        </w:rPr>
      </w:pPr>
      <w:bookmarkStart w:id="22" w:name="OLE_LINK1"/>
      <w:r>
        <w:rPr>
          <w:rFonts w:hint="eastAsia" w:eastAsia="仿宋_GB2312"/>
          <w:sz w:val="32"/>
          <w:szCs w:val="32"/>
        </w:rPr>
        <w:t>为进一步提升医疗电子票据的数据质量，便于在票据交付流转、报销入账等各个环节的跨省互认、验真、解析业务处理，需对医疗机构开具的电子票据进行数据质量规范性检查，给出问题提醒或整改建议和要求。</w:t>
      </w:r>
    </w:p>
    <w:bookmarkEnd w:id="22"/>
    <w:p w14:paraId="6762A398">
      <w:pPr>
        <w:numPr>
          <w:ilvl w:val="0"/>
          <w:numId w:val="3"/>
        </w:numPr>
        <w:ind w:left="0" w:leftChars="0" w:firstLine="640" w:firstLineChars="200"/>
        <w:rPr>
          <w:rFonts w:hint="eastAsia" w:eastAsia="仿宋_GB2312"/>
          <w:sz w:val="32"/>
          <w:szCs w:val="32"/>
        </w:rPr>
      </w:pPr>
      <w:r>
        <w:rPr>
          <w:rFonts w:hint="eastAsia" w:eastAsia="仿宋_GB2312"/>
          <w:sz w:val="32"/>
          <w:szCs w:val="32"/>
        </w:rPr>
        <w:t>冲红控制及电子票据报销查询</w:t>
      </w:r>
      <w:r>
        <w:rPr>
          <w:rFonts w:hint="eastAsia" w:eastAsia="仿宋_GB2312"/>
          <w:sz w:val="32"/>
          <w:szCs w:val="32"/>
          <w:lang w:val="en-US" w:eastAsia="zh-CN"/>
        </w:rPr>
        <w:t>改造</w:t>
      </w:r>
    </w:p>
    <w:p w14:paraId="397C6912">
      <w:pPr>
        <w:ind w:firstLine="640" w:firstLineChars="200"/>
        <w:rPr>
          <w:rFonts w:hint="eastAsia" w:eastAsia="仿宋_GB2312"/>
          <w:sz w:val="32"/>
          <w:szCs w:val="32"/>
        </w:rPr>
      </w:pPr>
      <w:r>
        <w:rPr>
          <w:rFonts w:hint="eastAsia" w:eastAsia="仿宋_GB2312"/>
          <w:sz w:val="32"/>
          <w:szCs w:val="32"/>
        </w:rPr>
        <w:t>为防止恶意退费等行为，当业务系统发起票据冲红时，开票单位查询票据状态</w:t>
      </w:r>
      <w:r>
        <w:rPr>
          <w:rFonts w:hint="eastAsia" w:eastAsia="仿宋_GB2312"/>
          <w:sz w:val="32"/>
          <w:szCs w:val="32"/>
          <w:lang w:eastAsia="zh-CN"/>
        </w:rPr>
        <w:t>。</w:t>
      </w:r>
      <w:r>
        <w:rPr>
          <w:rFonts w:hint="eastAsia" w:eastAsia="仿宋_GB2312"/>
          <w:sz w:val="32"/>
          <w:szCs w:val="32"/>
        </w:rPr>
        <w:t>若为锁定</w:t>
      </w:r>
      <w:r>
        <w:rPr>
          <w:rFonts w:hint="eastAsia" w:eastAsia="仿宋_GB2312"/>
          <w:sz w:val="32"/>
          <w:szCs w:val="32"/>
          <w:lang w:val="en-US" w:eastAsia="zh-CN"/>
        </w:rPr>
        <w:t>状态</w:t>
      </w:r>
      <w:r>
        <w:rPr>
          <w:rFonts w:hint="eastAsia" w:eastAsia="仿宋_GB2312"/>
          <w:sz w:val="32"/>
          <w:szCs w:val="32"/>
        </w:rPr>
        <w:t>，医疗电子票据</w:t>
      </w:r>
      <w:r>
        <w:rPr>
          <w:rFonts w:hint="eastAsia" w:eastAsia="仿宋_GB2312"/>
          <w:sz w:val="32"/>
          <w:szCs w:val="32"/>
          <w:lang w:val="en-US" w:eastAsia="zh-CN"/>
        </w:rPr>
        <w:t>系统</w:t>
      </w:r>
      <w:r>
        <w:rPr>
          <w:rFonts w:hint="eastAsia" w:eastAsia="仿宋_GB2312"/>
          <w:sz w:val="32"/>
          <w:szCs w:val="32"/>
        </w:rPr>
        <w:t>需对冲红业务进行控制，避免恶意退费冲红。</w:t>
      </w:r>
    </w:p>
    <w:p w14:paraId="4BC561AF">
      <w:pPr>
        <w:numPr>
          <w:ilvl w:val="0"/>
          <w:numId w:val="3"/>
        </w:numPr>
        <w:ind w:left="0" w:leftChars="0" w:firstLine="640" w:firstLineChars="200"/>
        <w:rPr>
          <w:rFonts w:hint="eastAsia" w:eastAsia="仿宋_GB2312"/>
          <w:sz w:val="32"/>
          <w:szCs w:val="32"/>
        </w:rPr>
      </w:pPr>
      <w:r>
        <w:rPr>
          <w:rFonts w:hint="eastAsia" w:eastAsia="仿宋_GB2312"/>
          <w:sz w:val="32"/>
          <w:szCs w:val="32"/>
        </w:rPr>
        <w:t>实施与联调测试</w:t>
      </w:r>
    </w:p>
    <w:p w14:paraId="18AF6F62">
      <w:pPr>
        <w:ind w:firstLine="640" w:firstLineChars="200"/>
        <w:rPr>
          <w:rFonts w:hint="eastAsia" w:eastAsia="仿宋_GB2312"/>
          <w:sz w:val="32"/>
          <w:szCs w:val="32"/>
        </w:rPr>
      </w:pPr>
      <w:r>
        <w:rPr>
          <w:rFonts w:hint="eastAsia" w:eastAsia="仿宋_GB2312"/>
          <w:sz w:val="32"/>
          <w:szCs w:val="32"/>
        </w:rPr>
        <w:t>与HIS系统进行接口联调工作，按照财政跨省报销要求，进行新数据规范升级（完成门诊、住院、挂号、体检等电子票据接口升级联调工作）。</w:t>
      </w:r>
    </w:p>
    <w:p w14:paraId="419DBA2B">
      <w:pPr>
        <w:pStyle w:val="7"/>
        <w:spacing w:before="60" w:after="60" w:line="360" w:lineRule="auto"/>
        <w:ind w:firstLine="640" w:firstLineChars="200"/>
        <w:rPr>
          <w:rFonts w:ascii="黑体" w:hAnsi="黑体" w:eastAsia="黑体" w:cs="仿宋_GB2312"/>
          <w:sz w:val="32"/>
          <w:szCs w:val="32"/>
          <w:lang w:val="zh-CN"/>
        </w:rPr>
      </w:pPr>
      <w:r>
        <w:rPr>
          <w:rFonts w:hint="eastAsia" w:ascii="黑体" w:hAnsi="黑体" w:eastAsia="黑体" w:cs="仿宋_GB2312"/>
          <w:sz w:val="32"/>
          <w:szCs w:val="32"/>
          <w:lang w:val="zh-CN"/>
        </w:rPr>
        <w:t>项目完成时间</w:t>
      </w:r>
    </w:p>
    <w:p w14:paraId="6C9C12C5">
      <w:pPr>
        <w:ind w:firstLine="640" w:firstLineChars="200"/>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202</w:t>
      </w:r>
      <w:r>
        <w:rPr>
          <w:rFonts w:hint="eastAsia" w:ascii="仿宋_GB2312" w:hAnsi="仿宋" w:eastAsia="仿宋_GB2312" w:cs="仿宋"/>
          <w:sz w:val="32"/>
          <w:szCs w:val="32"/>
          <w:highlight w:val="none"/>
          <w:lang w:val="en-US" w:eastAsia="zh-CN"/>
        </w:rPr>
        <w:t>6</w:t>
      </w:r>
      <w:r>
        <w:rPr>
          <w:rFonts w:hint="eastAsia" w:ascii="仿宋_GB2312" w:hAnsi="仿宋" w:eastAsia="仿宋_GB2312" w:cs="仿宋"/>
          <w:sz w:val="32"/>
          <w:szCs w:val="32"/>
          <w:highlight w:val="none"/>
        </w:rPr>
        <w:t>年</w:t>
      </w:r>
      <w:r>
        <w:rPr>
          <w:rFonts w:hint="eastAsia" w:ascii="仿宋_GB2312" w:hAnsi="仿宋" w:eastAsia="仿宋_GB2312" w:cs="仿宋"/>
          <w:sz w:val="32"/>
          <w:szCs w:val="32"/>
          <w:highlight w:val="none"/>
          <w:lang w:val="en-US" w:eastAsia="zh-CN"/>
        </w:rPr>
        <w:t>11</w:t>
      </w:r>
      <w:r>
        <w:rPr>
          <w:rFonts w:hint="eastAsia" w:ascii="仿宋_GB2312" w:hAnsi="仿宋" w:eastAsia="仿宋_GB2312" w:cs="仿宋"/>
          <w:sz w:val="32"/>
          <w:szCs w:val="32"/>
          <w:highlight w:val="none"/>
        </w:rPr>
        <w:t>月</w:t>
      </w:r>
      <w:r>
        <w:rPr>
          <w:rFonts w:hint="eastAsia" w:ascii="仿宋_GB2312" w:hAnsi="仿宋" w:eastAsia="仿宋_GB2312" w:cs="仿宋"/>
          <w:sz w:val="32"/>
          <w:szCs w:val="32"/>
          <w:highlight w:val="none"/>
          <w:lang w:val="en-US" w:eastAsia="zh-CN"/>
        </w:rPr>
        <w:t>底</w:t>
      </w:r>
      <w:r>
        <w:rPr>
          <w:rFonts w:hint="eastAsia" w:ascii="仿宋_GB2312" w:hAnsi="仿宋" w:eastAsia="仿宋_GB2312" w:cs="仿宋"/>
          <w:sz w:val="32"/>
          <w:szCs w:val="32"/>
          <w:highlight w:val="none"/>
        </w:rPr>
        <w:t>前</w:t>
      </w:r>
      <w:r>
        <w:rPr>
          <w:rFonts w:hint="eastAsia" w:ascii="仿宋_GB2312" w:hAnsi="仿宋" w:eastAsia="仿宋_GB2312" w:cs="仿宋"/>
          <w:sz w:val="32"/>
          <w:szCs w:val="32"/>
          <w:highlight w:val="none"/>
          <w:lang w:val="en-US" w:eastAsia="zh-CN"/>
        </w:rPr>
        <w:t>完成系统改造并</w:t>
      </w:r>
      <w:r>
        <w:rPr>
          <w:rFonts w:hint="eastAsia" w:ascii="仿宋_GB2312" w:hAnsi="仿宋" w:eastAsia="仿宋_GB2312" w:cs="仿宋"/>
          <w:sz w:val="32"/>
          <w:szCs w:val="32"/>
          <w:highlight w:val="none"/>
        </w:rPr>
        <w:t>上线。</w:t>
      </w:r>
    </w:p>
    <w:bookmarkEnd w:id="0"/>
    <w:bookmarkEnd w:id="1"/>
    <w:p w14:paraId="085D3C6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7EE6F1"/>
    <w:multiLevelType w:val="singleLevel"/>
    <w:tmpl w:val="D77EE6F1"/>
    <w:lvl w:ilvl="0" w:tentative="0">
      <w:start w:val="1"/>
      <w:numFmt w:val="chineseCounting"/>
      <w:suff w:val="nothing"/>
      <w:lvlText w:val="（%1）"/>
      <w:lvlJc w:val="left"/>
      <w:pPr>
        <w:ind w:left="0" w:firstLine="420"/>
      </w:pPr>
      <w:rPr>
        <w:rFonts w:hint="eastAsia"/>
      </w:rPr>
    </w:lvl>
  </w:abstractNum>
  <w:abstractNum w:abstractNumId="1">
    <w:nsid w:val="FB78CCB1"/>
    <w:multiLevelType w:val="singleLevel"/>
    <w:tmpl w:val="FB78CCB1"/>
    <w:lvl w:ilvl="0" w:tentative="0">
      <w:start w:val="1"/>
      <w:numFmt w:val="chineseCounting"/>
      <w:suff w:val="nothing"/>
      <w:lvlText w:val="（%1）"/>
      <w:lvlJc w:val="left"/>
      <w:pPr>
        <w:ind w:left="0" w:firstLine="420"/>
      </w:pPr>
      <w:rPr>
        <w:rFonts w:hint="eastAsia"/>
      </w:rPr>
    </w:lvl>
  </w:abstractNum>
  <w:abstractNum w:abstractNumId="2">
    <w:nsid w:val="7FF59339"/>
    <w:multiLevelType w:val="singleLevel"/>
    <w:tmpl w:val="7FF59339"/>
    <w:lvl w:ilvl="0" w:tentative="0">
      <w:start w:val="2"/>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6022C1"/>
    <w:rsid w:val="136022C1"/>
    <w:rsid w:val="2E5D41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tabs>
        <w:tab w:val="left" w:pos="432"/>
      </w:tabs>
      <w:spacing w:before="200" w:after="200"/>
      <w:ind w:left="432" w:hanging="432"/>
      <w:jc w:val="center"/>
      <w:outlineLvl w:val="0"/>
    </w:pPr>
    <w:rPr>
      <w:rFonts w:ascii="黑体" w:hAnsi="黑体" w:eastAsia="黑体"/>
      <w:bCs/>
      <w:color w:val="000000" w:themeColor="text1"/>
      <w:kern w:val="44"/>
      <w:sz w:val="44"/>
      <w:szCs w:val="44"/>
      <w14:textFill>
        <w14:solidFill>
          <w14:schemeClr w14:val="tx1"/>
        </w14:solidFill>
      </w14:textFill>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Indent"/>
    <w:basedOn w:val="1"/>
    <w:qFormat/>
    <w:uiPriority w:val="0"/>
    <w:pPr>
      <w:spacing w:after="120"/>
      <w:ind w:left="420" w:leftChars="200"/>
    </w:pPr>
  </w:style>
  <w:style w:type="paragraph" w:styleId="4">
    <w:name w:val="Body Text First Indent 2"/>
    <w:basedOn w:val="3"/>
    <w:qFormat/>
    <w:uiPriority w:val="0"/>
    <w:pPr>
      <w:ind w:firstLine="420" w:firstLineChars="200"/>
    </w:pPr>
  </w:style>
  <w:style w:type="paragraph" w:customStyle="1" w:styleId="7">
    <w:name w:val="正文_0"/>
    <w:next w:val="4"/>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2026-09-21T02:56:00Z</dcterms:created>
  <dc:creator>Administrator</dc:creator>
  <cp:lastModifiedBy>Administrator</cp:lastModifiedBy>
  <dcterms:modified xsi:type="dcterms:W3CDTF">2026-09-22T02:48:18Z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3F2FAA6622F04CEC87313FE6E5B08988_12</vt:lpwstr>
  </property>
</Properties>
</file>